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bookmarkStart w:id="1" w:name="_GoBack"/>
      <w:r>
        <w:rPr>
          <w:rFonts w:hint="eastAsia" w:ascii="方正小标宋_GBK" w:hAnsi="华文中宋" w:eastAsia="方正小标宋_GBK" w:cs="宋体"/>
          <w:b/>
          <w:kern w:val="0"/>
          <w:sz w:val="48"/>
          <w:szCs w:val="48"/>
          <w:lang w:val="en-US" w:eastAsia="zh-CN"/>
        </w:rPr>
        <w:t>木垒哈萨克自治县图书馆</w:t>
      </w:r>
      <w:r>
        <w:rPr>
          <w:rFonts w:hint="eastAsia" w:ascii="方正小标宋_GBK" w:hAnsi="华文中宋" w:eastAsia="方正小标宋_GBK" w:cs="宋体"/>
          <w:b/>
          <w:kern w:val="0"/>
          <w:sz w:val="48"/>
          <w:szCs w:val="48"/>
        </w:rPr>
        <w:t>整体支出绩效</w:t>
      </w:r>
      <w:bookmarkEnd w:id="1"/>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36"/>
          <w:szCs w:val="36"/>
        </w:rPr>
      </w:pPr>
      <w:r>
        <w:rPr>
          <w:rFonts w:hint="eastAsia" w:hAnsi="宋体" w:eastAsia="仿宋_GB2312" w:cs="宋体"/>
          <w:kern w:val="0"/>
          <w:sz w:val="36"/>
          <w:szCs w:val="36"/>
        </w:rPr>
        <w:t>单位名称（公章）</w:t>
      </w:r>
      <w:r>
        <w:rPr>
          <w:rFonts w:hint="eastAsia" w:ascii="仿宋" w:hAnsi="仿宋" w:eastAsia="仿宋" w:cs="仿宋"/>
          <w:kern w:val="0"/>
          <w:sz w:val="36"/>
          <w:szCs w:val="36"/>
        </w:rPr>
        <w:t>：</w:t>
      </w:r>
      <w:r>
        <w:rPr>
          <w:rStyle w:val="6"/>
          <w:rFonts w:hint="eastAsia" w:ascii="仿宋" w:hAnsi="仿宋" w:eastAsia="仿宋" w:cs="仿宋"/>
          <w:b w:val="0"/>
          <w:bCs w:val="0"/>
          <w:spacing w:val="-4"/>
          <w:sz w:val="36"/>
          <w:szCs w:val="36"/>
        </w:rPr>
        <w:t>木垒县图书馆本级</w:t>
      </w:r>
    </w:p>
    <w:p>
      <w:pPr>
        <w:spacing w:line="540" w:lineRule="exact"/>
        <w:ind w:firstLine="720" w:firstLineChars="200"/>
        <w:rPr>
          <w:rFonts w:ascii="仿宋" w:hAnsi="仿宋" w:eastAsia="仿宋" w:cs="仿宋"/>
          <w:kern w:val="0"/>
          <w:sz w:val="36"/>
          <w:szCs w:val="36"/>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2024年04月02日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numId w:val="0"/>
        </w:numPr>
        <w:snapToGrid w:val="0"/>
        <w:spacing w:line="540" w:lineRule="exact"/>
        <w:ind w:firstLine="640" w:firstLineChars="200"/>
        <w:rPr>
          <w:rFonts w:ascii="黑体" w:hAnsi="黑体" w:eastAsia="黑体" w:cs="宋体"/>
          <w:b w:val="0"/>
          <w:bCs/>
          <w:color w:val="000000" w:themeColor="text1"/>
          <w:sz w:val="32"/>
          <w:szCs w:val="32"/>
          <w:lang w:bidi="ar"/>
          <w14:textFill>
            <w14:solidFill>
              <w14:schemeClr w14:val="tx1"/>
            </w14:solidFill>
          </w14:textFill>
        </w:rPr>
      </w:pPr>
      <w:r>
        <w:rPr>
          <w:rFonts w:hint="eastAsia" w:ascii="黑体" w:hAnsi="黑体" w:eastAsia="黑体" w:cs="宋体"/>
          <w:b w:val="0"/>
          <w:bCs/>
          <w:color w:val="000000" w:themeColor="text1"/>
          <w:sz w:val="32"/>
          <w:szCs w:val="32"/>
          <w:lang w:val="en-US" w:eastAsia="zh-CN" w:bidi="ar"/>
          <w14:textFill>
            <w14:solidFill>
              <w14:schemeClr w14:val="tx1"/>
            </w14:solidFill>
          </w14:textFill>
        </w:rPr>
        <w:t>一、</w:t>
      </w:r>
      <w:r>
        <w:rPr>
          <w:rFonts w:hint="eastAsia" w:ascii="黑体" w:hAnsi="黑体" w:eastAsia="黑体" w:cs="宋体"/>
          <w:b w:val="0"/>
          <w:bCs/>
          <w:color w:val="000000" w:themeColor="text1"/>
          <w:sz w:val="32"/>
          <w:szCs w:val="32"/>
          <w:lang w:bidi="ar"/>
          <w14:textFill>
            <w14:solidFill>
              <w14:schemeClr w14:val="tx1"/>
            </w14:solidFill>
          </w14:textFill>
        </w:rPr>
        <w:t>基本概况：</w:t>
      </w:r>
    </w:p>
    <w:p>
      <w:pPr>
        <w:spacing w:line="600" w:lineRule="exact"/>
        <w:ind w:firstLine="643" w:firstLineChars="200"/>
        <w:jc w:val="left"/>
        <w:rPr>
          <w:rFonts w:hint="eastAsia" w:ascii="楷体" w:hAnsi="楷体" w:eastAsia="楷体" w:cs="楷体"/>
          <w:b/>
          <w:bCs/>
          <w:color w:val="333333"/>
          <w:sz w:val="30"/>
          <w:szCs w:val="30"/>
        </w:rPr>
      </w:pPr>
      <w:r>
        <w:rPr>
          <w:rFonts w:hint="eastAsia" w:ascii="楷体" w:hAnsi="楷体" w:eastAsia="楷体" w:cs="楷体"/>
          <w:b/>
          <w:color w:val="000000" w:themeColor="text1"/>
          <w:sz w:val="32"/>
          <w:szCs w:val="32"/>
          <w:lang w:bidi="ar"/>
          <w14:textFill>
            <w14:solidFill>
              <w14:schemeClr w14:val="tx1"/>
            </w14:solidFill>
          </w14:textFill>
        </w:rPr>
        <w:t>（一）部门单位基本情况</w:t>
      </w:r>
      <w:r>
        <w:rPr>
          <w:rFonts w:hint="eastAsia" w:ascii="楷体" w:hAnsi="楷体" w:eastAsia="楷体" w:cs="楷体"/>
          <w:b/>
          <w:bCs/>
          <w:color w:val="333333"/>
          <w:sz w:val="30"/>
          <w:szCs w:val="30"/>
        </w:rPr>
        <w:t>：</w:t>
      </w:r>
    </w:p>
    <w:p>
      <w:pPr>
        <w:spacing w:line="600" w:lineRule="exact"/>
        <w:ind w:left="638" w:leftChars="304" w:firstLine="0" w:firstLineChars="0"/>
        <w:jc w:val="left"/>
        <w:rPr>
          <w:rFonts w:hint="eastAsia" w:ascii="仿宋_GB2312" w:hAnsi="宋体" w:eastAsia="仿宋_GB2312"/>
          <w:bCs/>
          <w:sz w:val="32"/>
          <w:szCs w:val="32"/>
        </w:rPr>
      </w:pPr>
      <w:r>
        <w:rPr>
          <w:rFonts w:hint="eastAsia" w:ascii="仿宋_GB2312" w:hAnsi="宋体" w:eastAsia="仿宋_GB2312"/>
          <w:bCs/>
          <w:sz w:val="32"/>
          <w:szCs w:val="32"/>
        </w:rPr>
        <w:t>1.部门主要职能</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木垒哈萨克自治县图书馆承担图书、文献、报刊、金石拓片、音像资料采编与储藏；负责图书资料借阅；图书资料网络系统设计、施工、维护、管理，文献数字化处理；承担图书馆学研究，知识培训与社会教育。</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馆舍面积1500平方米，图书馆建设乡镇二级分馆11个；馆外延伸服务图书流动点17个，覆盖“军、警、机关、企业、学校”等各行业。</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开放时间：图书馆为更好地做好服务工作，每周为读者免费开放时间为56小时以上，节假日不闭馆。</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2.部门机构设置及人员构成</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（1）部门机构设置：</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木垒哈萨克自治县图书馆无下属预算单位，下设6个室，分别是：办公室、采编室、阅览室、典藏室、流通室、财务室。</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（2）人员构成：</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截止2023年12月31日，本单位经机构管理部门核定的编制人数7人，实有人数16人；其中：行政编制数0名，事业编制7名，其他人员数0名。年末实有在职人员7人（其中行政编制人员0人，事业编制人员7人），退休职工9人，离休人员0人。</w:t>
      </w:r>
      <w:bookmarkStart w:id="0" w:name="_Hlk43849111"/>
      <w:bookmarkEnd w:id="0"/>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（二）部门单位年度重点工作：</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1.本单位年度工作要点</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（1）党建工作从严从实深入推进。</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一是主题教育学习扎实推进，精心组织开展学习贯彻习近平新时代中国特色社会主义思想主题教育，扎实开展主题教育活动。二是严格落实“三会一课”制度。三是扎实开展“党旗映天山”主题党日活动。三是坚持开展志愿服务。四是不断深化加强党风廉政建设和反腐败工作。</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（2）第七次全国县级以上公共图书馆评估定级工作。</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完成昌吉州评估专家组实地复验、自治区评估专家组实地复验工作，由国家文旅部评定为县级公共图书馆国家级一级馆。</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（3）“滋养民族心灵 培育文化自信-阅享新时代”全民阅读活动。</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一是组织开展包括《复兴文库》丛书、《心向党 再起航》党史图书下基层巡展等阅读推广活动，加大党的二十大精神相关重点出版物的阅读内容引领。</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二是开展“书香致远润天山·书韵迎春享阅读”新春主题系列活动、“诗韵清明，云上答题”、“‘粽’享阅读 古尔邦节话端午”、“书香庆中秋 巧手做月饼”、“温暖传承 二十四节气之立冬”等中华传统节日系列活动，充分展现中华文化实物实景实事，铸牢各族群众中华民族共同体意识，突出中华文化符号和中华民族视觉形象。</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三是举办“滋养民族心灵 培育文化自信-阅享新时代”4·23世界读书日暨“畅阅全城 书香木垒”全民阅读启动仪式。公共图书馆服务宣传周陆续推出“凝聚精华 助力推广”公共图书馆服务宣传推广成果展，《中华传统文化百部经典》阅读推广活动、“你选书 我买单”阅读推广公益行动等线上线下推广阅读推广活动。</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四是组织开展“书香润乡村 阅读促振兴”新时代乡村阅读季系列活动。开展“我爱阅读100天”读书打卡活动，读书分享活动，以及乡村阅读季诵读比赛活动，并取得昌吉州一等奖荣誉。</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五是面向未成年人开展亲子绘本阅读、手工体验活动，节庆知识讲座、知识竞答活动，以及赠送图书、读书分享、诵读等活动，全面开展“全国少年儿童阅读年”系列活动。</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六是开展“我们的中国梦 文化进万家”文化惠民活动，为各族群众赠春联、送祝福、送阅读灯活动，同筑中国梦，共度书香年。</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（4）加强人才培养，进一步提升工作人员素质。</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2.单位年度目标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（1）开放时限。免费开放时间每天8小时，延时开放2小时，每周70小时，节假日正常开放，全年免费开放时间不少于350天。</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免费开放功能区包括，成人阅览室、少儿阅览室、过刊室、多媒体室（电子阅览室）、图书外借室、地方文献室、采编室、档案室、流动图书车、综合培训室。</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（2）图书藏量。现有馆藏实体图书65341册，人均藏书0.76册。2023年入藏2396册，人均年新增新书0.027册。</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公益讲座培训。举办不同主题的线上线下公益性培训讲座11个，参与群众571人次，举办培训班有二级分馆暨农家书屋管理员培训班和基层管理员实地业务辅导；举办知识讲座包括消防安全知识讲座、网络安全知识讲座、非遗剪纸知识讲座、老年人书法知识讲座以及新春国图公开课、传统节日习俗知识讲座等。以指导读者阅读，提高读者科学文化素养，从而吸引广大群众走进图书馆、利用图书馆，以推进全民阅读。</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4）行走中的图书馆-流动图书车。2023年开展流动图书车进基层34次，开展活动112场次。具体包括，一是流动图书车蹲点借还。利用流动图书车满载馆藏红色文献，供各族群众借阅。全年到28个村社区蹲点服务，惠及群众10000多人次。流动图书车作为一个“行走的微型图书馆”可以让各族群众直观的现场阅览、挑选、借阅图书，满足了群众的阅读需求，丰富了群众的文化生活。二是流动图书车送展览、送阅读进基层，“多彩童年 快乐阅读”少儿有声墙展览，“光影与文字”影视原著作品展。并利用流动图书车，在全县各乡镇、景点进行巡展，把优秀的文化成果送到家门口，将图书馆流动展览送到读者身边，给各族群众送去文化慰问，坚定社会主义文化自信。</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3.机构人员保障情况</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2023年，我单位共有在职人员7人,其中行政编制人员0名，事业编制人员7名，其他人员0名；其中，办公室2人，采编室1人，阅览室1人，典藏室1人，流通室1人，财务室1人，科室结构合理,各科室人员配备齐全。</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（三）部门单位整体预算规模及安排情况：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1.单位整体支出规模</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（1）年初预算安排情况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2023年初批复我单位预算为162.27万元，其中：财政拨款为162.27万元；</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（2）年中调整情况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2023年我单位年中追加11.86万元，调整率7.31%。较上年增加22.32万元，增长65.30%。预算调整原因是：追加基本费用经费9.86万元，追加2023文化人才服务项目2万元。</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（3）全年预算情况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我单位2023年初批复预算数162.27万元，年中调整数11.86万元，调整后全年预算数174.13万元，预算调整率7.31%。</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2.资金使用主要内容、涉及的范围</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我单位2023年全年预算数共计174.13万元，主要用于以下内容及范围：</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（1）基本支出152.13万元，其中：工资福利支出133.36万元、商品和服务支出2.38万元、对个人和家庭的补助支出5.37万元、资本性支出11.02万元。</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（2）项目支出22万元：</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①2023中央自治区美术馆、公共图书馆、文化馆免费开放补助资金项目20万元。</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②2023文化人才服务项目2万元。</w:t>
      </w:r>
    </w:p>
    <w:p>
      <w:pPr>
        <w:numPr>
          <w:numId w:val="0"/>
        </w:numPr>
        <w:snapToGrid w:val="0"/>
        <w:spacing w:line="540" w:lineRule="exact"/>
        <w:ind w:firstLine="640" w:firstLineChars="200"/>
        <w:rPr>
          <w:rFonts w:ascii="黑体" w:hAnsi="黑体" w:eastAsia="黑体" w:cs="宋体"/>
          <w:b w:val="0"/>
          <w:bCs/>
          <w:color w:val="000000" w:themeColor="text1"/>
          <w:sz w:val="32"/>
          <w:szCs w:val="32"/>
          <w:lang w:bidi="ar"/>
          <w14:textFill>
            <w14:solidFill>
              <w14:schemeClr w14:val="tx1"/>
            </w14:solidFill>
          </w14:textFill>
        </w:rPr>
      </w:pPr>
      <w:r>
        <w:rPr>
          <w:rFonts w:hint="eastAsia" w:ascii="黑体" w:hAnsi="黑体" w:eastAsia="黑体" w:cs="宋体"/>
          <w:b w:val="0"/>
          <w:bCs/>
          <w:color w:val="000000" w:themeColor="text1"/>
          <w:sz w:val="32"/>
          <w:szCs w:val="32"/>
          <w:lang w:val="en-US" w:eastAsia="zh-CN" w:bidi="ar"/>
          <w14:textFill>
            <w14:solidFill>
              <w14:schemeClr w14:val="tx1"/>
            </w14:solidFill>
          </w14:textFill>
        </w:rPr>
        <w:t>二、</w:t>
      </w:r>
      <w:r>
        <w:rPr>
          <w:rFonts w:hint="eastAsia" w:ascii="黑体" w:hAnsi="黑体" w:eastAsia="黑体" w:cs="宋体"/>
          <w:b w:val="0"/>
          <w:bCs/>
          <w:color w:val="000000" w:themeColor="text1"/>
          <w:sz w:val="32"/>
          <w:szCs w:val="32"/>
          <w:lang w:bidi="ar"/>
          <w14:textFill>
            <w14:solidFill>
              <w14:schemeClr w14:val="tx1"/>
            </w14:solidFill>
          </w14:textFill>
        </w:rPr>
        <w:t>部门单位整体支出管理及使用情况：</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（一）部门整体支出预算执行率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2023年，我单位全年预算资金为174.13万元，全年实际到位资金174.13万元，全年实际支出资金174.13万元，预算执行率为100%。其中：基本支出152.13万元，项目支出22万元。</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（二）基本支出投入和使用情况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1.基本支出投入和使用情况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2023年我单位基本支出全年预算总额152.13万元，分别为：人员经费138.73万元，公用经费13.4万元。实际支出152.13万元，其中：人员经费支出138.73万元，公用经费支出13.4万元，基本支出预算执行率100%。</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其中：人员经费支出138.73万元，主要包括：基本工资、津贴补贴、奖金、绩效工资、机关事业单位基本养老保险缴费、职业年金缴费、职工基本医疗保险缴费、其他社会保障缴费、住房公积金、其他工资福利支出、退休费、奖励金、其他对个人和家庭的补助等。</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公用经费支出13.4万元，主要包括：办公费、印刷费、咨询费、手续费、水费、电费、邮电费、差旅费、维修（护）费、租赁费、公务接待费、劳务费、工会经费、福利费、公务用车运行维护费、其他交通费用、税金及附加费用、其他商品和服务支出、办公设备购置、其他资本性支出。</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 xml:space="preserve">其中“三公”经费支出情况：公务车运行与维护费支出预算数0.19万元，决算数0.19万元；公务接待支出预算数0.35万元，决算数0万元；因公出国出境预算数0万元，决算数0万元。较上年有小幅下降，下降金额0.01万元，下降5%。主要原因是厉行勤俭办公的工作要求，提倡本单位全体干部职工，勤俭节约，切实降低行政运行成本。 </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2.基本支出的管理情况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尤其是“三公"经费严格控制在预算指标内。接待费的报销必须附有接待公函、接待清单、接待明细及公务员卡poss机票,车辆运行开支由办公室统一安排调配使用。</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所有支出严格按照财务管理制度执行。人员工资由编办、人社局、社保局、医保局、住房公积金管理办公室及财政局等部门逐个审核，按月申报及发放。</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3.三公经费控制情况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坚决贯彻落实中央、自治区、自治州、木垒县厉行勤俭办公的工作要求，提倡本单位全体干部职工，勤俭节约，切实降低行政运行成本，确保每年“三公经费”只减不增。2023年“三公经费”预算为0.54万元，实际支出0.19万元，“三公经费”控制率为35%，其中：因公出国（境）费预算为0万元，实际支出0万元；公务接待费预算为0.35万元，实际支出0万元；公务用车购置费预算为0万元，实际支出0万元；公务用车运行维护费预算为0.19万元，实际支出0.19万元，公务用车运行维护费控制率100%，符合财政部门本年预算要求和相关管理制度要求。</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（三）项目支出管理和使用情况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1.项目支出资金安排落实、总投入情况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本单位2023年初项目支出预算资金20万元，追加项目预算2万元，实际到位22万元，资金到位率100%,其中:中央转移支付项目资金16万元，自治区资金4.8万元，本级资金1.2万元。</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2.项目支出实际使用情况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2023年我单位实施专项项目共2个，涉及金额共22万元，实际到位22万元，实际支出22万元，其中：中央专项项目1个涉及金额16万元，自治区专项项目2个涉及金额4.8万元，县本级专项项目1个涉及金额1.2万元；</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2023年我单位全年实际完成了2个项目、未完成0个项目。项目资金支出共计22万元，占全年支出总额的12.63%，同比上年18.68万元增加3.32万元。支出上升的主要原因是增加2023文化人才服务项目。具体项目情况如下：</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中央自治区美术馆、公共图书馆、文化馆免费开放补助资金项目20万元。其中：《关于提前下达2023年中央补助地方公共美术馆、公共图书馆、文化馆（站）免费开放补助资金预算的通知》（昌州财教[2022]63号）文，中央转移支付拨款16万元；《关于提前下达自治区2023年美术馆、公共图书馆、文化馆（站）免费开放补助资金预算的通知》（昌州财教[2022]71号）文，自治区转移支付拨款2.8万元，县本级财政拨款1.2万元。实际到位20万元，实际执行20万元，执行率100%，主要用于公共图书馆免费开展基本公共文化服务工作；资金使用无偏差。</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文化人才服务项目2万元。《关于拨付下达2023年中央文化人才专项经费预算的通知》（昌州财教[2023]47号）文，为自治区转移支付拨款2万元。实际到位2万元，实际执行2万元，执行率100%，主要用于公共图书馆文化工作者深入基层开展文化服务工作；资金使用无偏差。</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3.项目资金管理情况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为了加强资金管理，提高资金效益，本单位制定了专项资金管理制度，坚持一支笔和项目重大开支集体讨论制定，由木垒县图书馆业务科室提交业务资金使用申请到分管领导，经审批后提交到馆委会审核，超过0.2万元以上的项目支出报文旅局党组会议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为规范专项资金使用，提高专项资金使用效益，我单位主要采取四项措施。</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一是制订专项资金管理制度；二是各专项资金建立了专帐；三是制订了项目实施方案；四是认真组织项目验收。切实确保专项资金都做到了专款专用。</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专项资金涉及政府采购项目的，按照图书馆《采购管理暂行办法》组织人员制定采购计划，按照财政局采购部门批复，进行公开招标、邀请招标等方式进行。</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为了管好用好各项资金，本单位成立了绩效工作领导小组，党支部书记郭素春任组长，副馆长吐尔逊古丽·阿吾巴克尔任副组长，领导小组下设办公室，由财务领导吐尔逊古丽·阿吾巴克尔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（四）资产管理情况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1.资产管理规范性</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（1）资产基本情况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2023年资产合计数为68.05万元，比上年减少4.69万元，主要原因是；货币资金减少，其中：货币资金0.17万元，比上年增加0.17万元；财政应返还额度0万元，比上年相比无变化；房屋0平方米0万元，比上年减少0万元；车辆1辆3.46万元，比上年减少2.44万元，减少原因是折旧；在建工程0万元，与上年持平；图书和档案48.16万元，比上年增加1.1万元；办公设备及家具10.18万元，比上年减少2.5万元。我单位本年无资产处置情况，资产配置合理，使用规范，安全完整。</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（2）资产管理制度建设</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制定资产管理制度：办公室为图书馆固定资产管理科室；办公室设置固定资产实物台账及卡片账；办公室负责对固定资产进行分类编号、购建、自建、调拔、转让、报废、更新、盘盈、盘亏和基本建设竣工验收报告、办理有关呈报审批手续；办公室对每项固定资产的使用落实到人。</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（3）固定资产管理情况。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（4）流动资产管理情况。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流动资产严格按照我单位内控体系要求进行管理，无备用金，单位货币资金管理由财务室每月与国库支付中心进行对账。</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2.固定资产利用率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我单位资产总额68.05万元，其中流动资产0.17万元（其中货币资金0.17万元），固定资产净值67.36万元（其中：土地、房屋及构筑物0万元，占固定资产净值的0%；通用设备63.9万元，占固定资产净值的94.86%；专用设备3.46万元，占固定资产净值的5.14%；）。</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本年度流动资产0.17万元，比上年增加0.17万元，原因是：其他应付款。</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本年度固定资产67.36万元，比上年减少4.87万元，原因是：固定资产折旧。</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实际在用固定资产67.36万元，固定资产利用率100%。</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（五）预算管理情况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1.管理制度健全性</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本单位为加强预算管理，规范财务行为，已制定《财务管理制度》、《支出绩效评价管理制度》等健全完整的各项管理制度，有效保障了我单位高效的履行工作职能，较好的促进事业发展。</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2.资金使用合规性和安全性</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按照财政要求基本支出分月度申报资金使用计划，由财政部门按照进度每月按期拨付，人员支出按照工资计划发放工资；依照木垒哈萨克自治县图书馆《预算管理制度》相关规定和《收支管理制度》规定流程，资金支出按照我内控体系中设定的流程申报审批进行；项目支出属于政府采购的，按照图书馆《采购管理暂行办法》组织人员制定采购计划，按照财政局采购部门批复，进行公开招标、邀请招标等方式进行；属于非政府采购的项目，按照“三重一大”制度规定，重大项目支出上文旅局党组会研究决定。</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3.预决算信息公开性</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p>
    <w:p>
      <w:pPr>
        <w:spacing w:line="600" w:lineRule="exact"/>
        <w:ind w:firstLine="640" w:firstLineChars="200"/>
        <w:jc w:val="left"/>
        <w:rPr>
          <w:rFonts w:ascii="黑体" w:hAnsi="黑体" w:eastAsia="黑体" w:cs="宋体"/>
          <w:b w:val="0"/>
          <w:bCs/>
          <w:color w:val="000000" w:themeColor="text1"/>
          <w:sz w:val="32"/>
          <w:szCs w:val="32"/>
          <w:lang w:bidi="ar"/>
          <w14:textFill>
            <w14:solidFill>
              <w14:schemeClr w14:val="tx1"/>
            </w14:solidFill>
          </w14:textFill>
        </w:rPr>
      </w:pPr>
      <w:r>
        <w:rPr>
          <w:rFonts w:hint="eastAsia" w:ascii="黑体" w:hAnsi="黑体" w:eastAsia="黑体" w:cs="宋体"/>
          <w:b w:val="0"/>
          <w:bCs/>
          <w:color w:val="000000" w:themeColor="text1"/>
          <w:sz w:val="32"/>
          <w:szCs w:val="32"/>
          <w:lang w:val="en-US" w:eastAsia="zh-CN" w:bidi="ar"/>
          <w14:textFill>
            <w14:solidFill>
              <w14:schemeClr w14:val="tx1"/>
            </w14:solidFill>
          </w14:textFill>
        </w:rPr>
        <w:t>三、</w:t>
      </w:r>
      <w:r>
        <w:rPr>
          <w:rFonts w:hint="eastAsia" w:ascii="黑体" w:hAnsi="黑体" w:eastAsia="黑体" w:cs="宋体"/>
          <w:b w:val="0"/>
          <w:bCs/>
          <w:color w:val="000000" w:themeColor="text1"/>
          <w:sz w:val="32"/>
          <w:szCs w:val="32"/>
          <w:lang w:bidi="ar"/>
          <w14:textFill>
            <w14:solidFill>
              <w14:schemeClr w14:val="tx1"/>
            </w14:solidFill>
          </w14:textFill>
        </w:rPr>
        <w:t>部门单位整体支出绩效分析：</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我单位整体绩效目标共设置一级指标3个，分别为运行成本、履职效能、服务对象满意度；二级指标3个，其中数量指标2个，质量指标2个，时效指标1个；三级指标9个；其中已完成三级指标9个，指标完成率为100%。根据2023年度部门整体支出状况的概述和分析，部门整体支出绩效情况如下：</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（一）运行成本</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运行成本共设置二级指标1个，三级指标2个，三级指标完成2个，达到预期目标，指标完成率100%。指标分析如下：</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保障办公人员数量指标，预期设定指标≥7人，年中绩效运行监控时完成值7人，全年实际完成值7人，指标完成率是100%，达到成本控制及改善目标，有效保障了图书馆正常运行。</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年人均新增藏量指标，预期设定指标≥0.02册，年中绩效运行监控时完成值0.02册，全年实际完成值0.02册，指标完成率是100%，达到成本控制及改善目标，有效保障了社会公众的阅读权益。</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（二）管理效率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本单位2023年度未设置管理效率指标。</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（三）履职效能</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履职效能共设置二级指标3个，三级指标6个，三级指标完成6个，达到预期目标，指标完成率100%。</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流动图书车进基层活动指标，预期设定指标是≥30场次，年中绩效运行监控时完成值24场次，全年实际完成值是30场次，指标完成率是100%，达到预期目标。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举办阅读推广活动指标，预期设定指标是≥2次，年中绩效运行监控时完成值2次，全年实际完成值是2次，指标完成率是100%，达到预期目标。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举办公益讲座培训指标，预期设定指标是≥9场，年中绩效运行监控时完成值5场，全年实际完成值是9场，指标完成率是100%，达到预期目标。</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大型宣传活动有未成年参与比率指标，预期设定指标是≥50%，年中绩效运行监控时完成值50%，全年实际完成值是50%，指标完成率是100%，达到预期目标，很好的保障了未成年人的阅读权益，达到质量提升及标准。</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学员培训合格率指标，预期设定指标是≥90%，年中绩效运行监控时完成值90%，全年实际完成值是90%，指标完成率是100%，达到预期目标，很好的保障了基层公共文化服务，提升了基层公共文化服务效能，达到质量提升及标准。</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免费开放时间指标，预期设定指标是≥300日/年，年中绩效运行监控时完成值167日，全年实际完成值是300日/年，指标完成率是100%，达到预期目标，很好的保障了公共图书馆免费开放，阅读推广活动正常开展。</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（四）社会效益</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本单位2023年度未设置社会效益指标。</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（五）可持续发展能力</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本单位2023年度未设置可持续发展能力指标。</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（六）服务对象满意度</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服务对象满意度共设置二级指标1个，三级指标1个，三级指标完成1个，达到预期目标，指标完成率100%。</w:t>
      </w:r>
    </w:p>
    <w:p>
      <w:pPr>
        <w:spacing w:line="600" w:lineRule="exact"/>
        <w:ind w:firstLine="640" w:firstLineChars="200"/>
        <w:jc w:val="left"/>
        <w:rPr>
          <w:rFonts w:ascii="仿宋_GB2312" w:hAnsi="宋体" w:eastAsia="仿宋_GB2312"/>
          <w:b/>
          <w:sz w:val="32"/>
          <w:szCs w:val="32"/>
        </w:rPr>
      </w:pPr>
      <w:r>
        <w:rPr>
          <w:rFonts w:hint="eastAsia" w:ascii="仿宋_GB2312" w:hAnsi="宋体" w:eastAsia="仿宋_GB2312"/>
          <w:bCs/>
          <w:sz w:val="32"/>
          <w:szCs w:val="32"/>
        </w:rPr>
        <w:t>社会公众对公共图书馆公共文化服务满意率指标，预期设定指标≥95%，年中绩效运行监控时完成值50%，全年实际完成值95%，指标完成率是100%，达到预期目标，经调研，我单位本年度的工作得到了社会公众对图书馆服务效能、业务能力、保障条件极大的认可。</w:t>
      </w:r>
    </w:p>
    <w:p>
      <w:pPr>
        <w:spacing w:line="600" w:lineRule="exact"/>
        <w:ind w:firstLine="640" w:firstLineChars="200"/>
        <w:jc w:val="left"/>
        <w:rPr>
          <w:rFonts w:hint="eastAsia" w:ascii="黑体" w:hAnsi="黑体" w:eastAsia="黑体" w:cs="宋体"/>
          <w:b w:val="0"/>
          <w:bCs/>
          <w:color w:val="000000" w:themeColor="text1"/>
          <w:sz w:val="32"/>
          <w:szCs w:val="32"/>
          <w:lang w:val="en-US" w:eastAsia="zh-CN" w:bidi="ar"/>
          <w14:textFill>
            <w14:solidFill>
              <w14:schemeClr w14:val="tx1"/>
            </w14:solidFill>
          </w14:textFill>
        </w:rPr>
      </w:pPr>
      <w:r>
        <w:rPr>
          <w:rFonts w:hint="eastAsia" w:ascii="黑体" w:hAnsi="黑体" w:eastAsia="黑体" w:cs="宋体"/>
          <w:b w:val="0"/>
          <w:bCs/>
          <w:color w:val="000000" w:themeColor="text1"/>
          <w:sz w:val="32"/>
          <w:szCs w:val="32"/>
          <w:lang w:val="en-US" w:eastAsia="zh-CN" w:bidi="ar"/>
          <w14:textFill>
            <w14:solidFill>
              <w14:schemeClr w14:val="tx1"/>
            </w14:solidFill>
          </w14:textFill>
        </w:rPr>
        <w:t>四、评价结论：</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我单位通过加强预算收支管理，不断建立健全内部管理制度，梳理内部管理流程，部门整体支出管理情况得到提升。我单位2023年部门单位预算执行率100%，部门整体绩效目标共设置一级指标3个，二级指标3个，三级指标9个，其中已完成三级指标9个，未完成三级指标0个；绩效目标评价得分100分。</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履职效能方面，我单位完成了第七次全国县级以上公共图书馆评估定级专家组实地复验工作，被评定为国家级一级馆，推动公共图书馆事业高质量发展；组织开展“书香致远润天山 书韵迎春享阅读”新春主题系列活动、“滋养民族心灵 培育文化自信-阅享新时代”全民阅读系列活动、“书香润乡村 阅读促振兴”新时代乡村阅读季主题系列活动以及“我们的节日”主题系列活动等阅读推广活动，创新服务方式，提升服务效果；开展“行走中的图书馆”流动图书车进基层活动，打造公共文化品牌，提升服务品质；完成图书馆二级分馆、农家书屋管理员集中培训、实地业务辅导，进一步提升基层工作人员素质，提升基层公共文化服务效能。</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2023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结合我单位实际情合理分配资金，以达到合理高效地运用资金、提升资金的产出效果、节约成本与资源、提高部门的办事效率的目的。在部门预算整体支出绩效方面都按规定严格执行，合理安排支出，使财政资金发挥出最大的效益。</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本单位2023年度部门整体支出绩效完成情况良好。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1.绩效运行监控工作接触时间不长，但由于运行时间较短，在绩效目标编制上依然有欠缺，绩效目标设立不够明确、细化和量化。对绩效分析也不够透彻。</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2.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p>
    <w:p>
      <w:pPr>
        <w:numPr>
          <w:numId w:val="0"/>
        </w:numPr>
        <w:snapToGrid w:val="0"/>
        <w:spacing w:line="540" w:lineRule="exact"/>
        <w:ind w:left="648" w:leftChars="0"/>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val="en-US" w:eastAsia="zh-CN" w:bidi="ar"/>
          <w14:textFill>
            <w14:solidFill>
              <w14:schemeClr w14:val="tx1"/>
            </w14:solidFill>
          </w14:textFill>
        </w:rPr>
        <w:t>五、</w:t>
      </w: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（一）改进措施</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1.大力强化宣传，加强政策学习，提高思想认识，提高绩效监控认同感，首先要从部门实际入手，进行深刻剖析，分析实施绩效监控的重要性和意义，激发部门单位对实施绩效监控的积极性。</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2.着力推动绩效运行监控与部门内部控制管理相结合，发现问题及时纠正，确保绩效监控结果的客观性和准确性。</w:t>
      </w:r>
    </w:p>
    <w:p>
      <w:pPr>
        <w:spacing w:line="600" w:lineRule="exact"/>
        <w:ind w:firstLine="643" w:firstLineChars="200"/>
        <w:jc w:val="left"/>
        <w:rPr>
          <w:rFonts w:hint="eastAsia" w:ascii="楷体" w:hAnsi="楷体" w:eastAsia="楷体" w:cs="楷体"/>
          <w:b/>
          <w:color w:val="000000" w:themeColor="text1"/>
          <w:sz w:val="32"/>
          <w:szCs w:val="32"/>
          <w:lang w:bidi="ar"/>
          <w14:textFill>
            <w14:solidFill>
              <w14:schemeClr w14:val="tx1"/>
            </w14:solidFill>
          </w14:textFill>
        </w:rPr>
      </w:pPr>
      <w:r>
        <w:rPr>
          <w:rFonts w:hint="eastAsia" w:ascii="楷体" w:hAnsi="楷体" w:eastAsia="楷体" w:cs="楷体"/>
          <w:b/>
          <w:color w:val="000000" w:themeColor="text1"/>
          <w:sz w:val="32"/>
          <w:szCs w:val="32"/>
          <w:lang w:bidi="ar"/>
          <w14:textFill>
            <w14:solidFill>
              <w14:schemeClr w14:val="tx1"/>
            </w14:solidFill>
          </w14:textFill>
        </w:rPr>
        <w:t>（二）建议</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p>
    <w:p/>
    <w:sectPr>
      <w:pgSz w:w="11906" w:h="16838"/>
      <w:pgMar w:top="1417" w:right="1587" w:bottom="113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35992BF0"/>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82</TotalTime>
  <ScaleCrop>false</ScaleCrop>
  <LinksUpToDate>false</LinksUpToDate>
  <CharactersWithSpaces>384</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2024-08-07T10:30:42Z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4E2A216151A24EE5A190066F518526B7</vt:lpwstr>
  </property>
</Properties>
</file>